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footerReference w:type="first" r:id="rId10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2F9BEDFE" w14:textId="48AC2EF8" w:rsidR="00C86C57" w:rsidRPr="00D304BD" w:rsidRDefault="004040E3" w:rsidP="00C86C57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УТВЕРЖДЕН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УТВЕРЖДЕН</w:t>
      </w:r>
      <w:r>
        <w:rPr>
          <w:sz w:val="28"/>
          <w:szCs w:val="28"/>
        </w:rPr>
        <w:fldChar w:fldCharType="end"/>
      </w:r>
    </w:p>
    <w:p w14:paraId="2F9BEDFF" w14:textId="77777777" w:rsidR="00C86C57" w:rsidRPr="00D304BD" w:rsidRDefault="00C86C57" w:rsidP="00C86C57">
      <w:pPr>
        <w:jc w:val="center"/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0" w14:textId="79D3A51B" w:rsidR="00C86C57" w:rsidRPr="009C63DB" w:rsidRDefault="00A574FB" w:rsidP="00C86C57">
      <w:pPr>
        <w:jc w:val="center"/>
        <w:rPr>
          <w:sz w:val="28"/>
          <w:szCs w:val="28"/>
        </w:rPr>
      </w:pPr>
      <w:bookmarkStart w:id="1" w:name="type_doc"/>
      <w:r w:rsidRPr="00DC2988">
        <w:rPr>
          <w:sz w:val="28"/>
          <w:szCs w:val="28"/>
        </w:rPr>
        <w:t xml:space="preserve"> </w:t>
      </w:r>
      <w:bookmarkEnd w:id="1"/>
      <w:r w:rsidR="004040E3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распоряжением Правительства"/>
            </w:textInput>
          </w:ffData>
        </w:fldChar>
      </w:r>
      <w:r w:rsidR="004040E3">
        <w:rPr>
          <w:sz w:val="28"/>
          <w:szCs w:val="28"/>
        </w:rPr>
        <w:instrText xml:space="preserve"> FORMTEXT </w:instrText>
      </w:r>
      <w:r w:rsidR="004040E3">
        <w:rPr>
          <w:sz w:val="28"/>
          <w:szCs w:val="28"/>
        </w:rPr>
      </w:r>
      <w:r w:rsidR="004040E3">
        <w:rPr>
          <w:sz w:val="28"/>
          <w:szCs w:val="28"/>
        </w:rPr>
        <w:fldChar w:fldCharType="separate"/>
      </w:r>
      <w:r w:rsidR="004040E3">
        <w:rPr>
          <w:noProof/>
          <w:sz w:val="28"/>
          <w:szCs w:val="28"/>
        </w:rPr>
        <w:t>распоряжением Правительства</w:t>
      </w:r>
      <w:r w:rsidR="004040E3">
        <w:rPr>
          <w:sz w:val="28"/>
          <w:szCs w:val="28"/>
        </w:rPr>
        <w:fldChar w:fldCharType="end"/>
      </w:r>
    </w:p>
    <w:p w14:paraId="2F9BEE01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2" w14:textId="77777777" w:rsidR="00C86C57" w:rsidRPr="009C63DB" w:rsidRDefault="00C86C57" w:rsidP="00C86C57">
      <w:pPr>
        <w:jc w:val="center"/>
        <w:rPr>
          <w:sz w:val="28"/>
          <w:szCs w:val="28"/>
        </w:rPr>
      </w:pPr>
      <w:r w:rsidRPr="007853E2">
        <w:rPr>
          <w:sz w:val="28"/>
          <w:szCs w:val="28"/>
        </w:rPr>
        <w:t>Сахалинской области</w:t>
      </w:r>
    </w:p>
    <w:p w14:paraId="2F9BEE03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1418"/>
      </w:tblGrid>
      <w:tr w:rsidR="00C86C57" w14:paraId="2F9BEE08" w14:textId="77777777">
        <w:tc>
          <w:tcPr>
            <w:tcW w:w="479" w:type="dxa"/>
          </w:tcPr>
          <w:p w14:paraId="2F9BEE04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2F9BEE05" w14:textId="046B4D34" w:rsidR="00C86C57" w:rsidRDefault="00A574FB" w:rsidP="00C86C57">
            <w:pPr>
              <w:jc w:val="center"/>
              <w:rPr>
                <w:sz w:val="28"/>
                <w:szCs w:val="28"/>
              </w:rPr>
            </w:pPr>
            <w:bookmarkStart w:id="2" w:name="ТекстовоеПоле3"/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28.08.2018</w:t>
            </w:r>
            <w:bookmarkEnd w:id="2"/>
          </w:p>
        </w:tc>
        <w:tc>
          <w:tcPr>
            <w:tcW w:w="535" w:type="dxa"/>
          </w:tcPr>
          <w:p w14:paraId="2F9BEE06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F9BEE07" w14:textId="7C83CAFF" w:rsidR="00C86C57" w:rsidRDefault="00A574FB" w:rsidP="00E37FBB">
            <w:pPr>
              <w:rPr>
                <w:sz w:val="28"/>
                <w:szCs w:val="28"/>
              </w:rPr>
            </w:pPr>
            <w:bookmarkStart w:id="3" w:name="ТекстовоеПоле4"/>
            <w:r>
              <w:rPr>
                <w:sz w:val="28"/>
                <w:szCs w:val="28"/>
                <w:lang w:val="en-US"/>
              </w:rPr>
              <w:t xml:space="preserve"> </w:t>
            </w:r>
            <w:bookmarkEnd w:id="3"/>
            <w:r w:rsidR="00E37FBB">
              <w:rPr>
                <w:sz w:val="28"/>
                <w:szCs w:val="28"/>
              </w:rPr>
              <w:t>475-р</w:t>
            </w:r>
            <w:bookmarkStart w:id="4" w:name="_GoBack"/>
            <w:bookmarkEnd w:id="4"/>
          </w:p>
        </w:tc>
      </w:tr>
    </w:tbl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B" w14:textId="77777777" w:rsidR="00765FB3" w:rsidRPr="00765FB3" w:rsidRDefault="00765FB3" w:rsidP="00765FB3">
      <w:pPr>
        <w:spacing w:after="1400"/>
        <w:rPr>
          <w:sz w:val="28"/>
          <w:szCs w:val="28"/>
        </w:rPr>
      </w:pPr>
    </w:p>
    <w:p w14:paraId="2F9BEE0C" w14:textId="77777777" w:rsidR="00765FB3" w:rsidRDefault="00765FB3" w:rsidP="00765FB3">
      <w:pPr>
        <w:spacing w:after="1400"/>
        <w:sectPr w:rsidR="00765FB3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F9BEE0D" w14:textId="4E4D1156" w:rsidR="00765FB3" w:rsidRPr="009C63DB" w:rsidRDefault="00A574FB" w:rsidP="006620C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  <w:bookmarkStart w:id="5" w:name="ТекстовоеПоле1"/>
      <w:r w:rsidRPr="00DC2988">
        <w:rPr>
          <w:b/>
          <w:bCs/>
          <w:caps/>
          <w:sz w:val="28"/>
          <w:szCs w:val="28"/>
        </w:rPr>
        <w:t xml:space="preserve"> </w:t>
      </w:r>
      <w:bookmarkEnd w:id="5"/>
      <w:r w:rsidR="004040E3">
        <w:rPr>
          <w:b/>
          <w:bCs/>
          <w:caps/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рогноз"/>
            </w:textInput>
          </w:ffData>
        </w:fldChar>
      </w:r>
      <w:r w:rsidR="004040E3">
        <w:rPr>
          <w:b/>
          <w:bCs/>
          <w:caps/>
          <w:sz w:val="28"/>
          <w:szCs w:val="28"/>
        </w:rPr>
        <w:instrText xml:space="preserve"> FORMTEXT </w:instrText>
      </w:r>
      <w:r w:rsidR="004040E3">
        <w:rPr>
          <w:b/>
          <w:bCs/>
          <w:caps/>
          <w:sz w:val="28"/>
          <w:szCs w:val="28"/>
        </w:rPr>
      </w:r>
      <w:r w:rsidR="004040E3">
        <w:rPr>
          <w:b/>
          <w:bCs/>
          <w:caps/>
          <w:sz w:val="28"/>
          <w:szCs w:val="28"/>
        </w:rPr>
        <w:fldChar w:fldCharType="separate"/>
      </w:r>
      <w:r w:rsidR="004040E3">
        <w:rPr>
          <w:b/>
          <w:bCs/>
          <w:caps/>
          <w:noProof/>
          <w:sz w:val="28"/>
          <w:szCs w:val="28"/>
        </w:rPr>
        <w:t>Прогноз</w:t>
      </w:r>
      <w:r w:rsidR="004040E3">
        <w:rPr>
          <w:b/>
          <w:bCs/>
          <w:caps/>
          <w:sz w:val="28"/>
          <w:szCs w:val="28"/>
        </w:rPr>
        <w:fldChar w:fldCharType="end"/>
      </w:r>
    </w:p>
    <w:p w14:paraId="2F9BEE0E" w14:textId="08890CE9" w:rsidR="006620C8" w:rsidRDefault="00A574FB" w:rsidP="005300B2">
      <w:pPr>
        <w:spacing w:after="120"/>
        <w:ind w:left="1134" w:right="1134"/>
        <w:jc w:val="center"/>
        <w:rPr>
          <w:b/>
          <w:bCs/>
        </w:rPr>
        <w:sectPr w:rsidR="006620C8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6" w:name="ТекстовоеПоле2"/>
      <w:r w:rsidRPr="00DC2988">
        <w:rPr>
          <w:b/>
          <w:bCs/>
          <w:sz w:val="28"/>
          <w:szCs w:val="28"/>
        </w:rPr>
        <w:t xml:space="preserve"> </w:t>
      </w:r>
      <w:bookmarkEnd w:id="6"/>
      <w:r w:rsidR="004040E3">
        <w:rPr>
          <w:b/>
          <w:bCs/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отребности в кадрах экономики Сахалинской области на 2018-2024 годы"/>
            </w:textInput>
          </w:ffData>
        </w:fldChar>
      </w:r>
      <w:r w:rsidR="004040E3">
        <w:rPr>
          <w:b/>
          <w:bCs/>
          <w:sz w:val="28"/>
          <w:szCs w:val="28"/>
        </w:rPr>
        <w:instrText xml:space="preserve"> FORMTEXT </w:instrText>
      </w:r>
      <w:r w:rsidR="004040E3">
        <w:rPr>
          <w:b/>
          <w:bCs/>
          <w:sz w:val="28"/>
          <w:szCs w:val="28"/>
        </w:rPr>
      </w:r>
      <w:r w:rsidR="004040E3">
        <w:rPr>
          <w:b/>
          <w:bCs/>
          <w:sz w:val="28"/>
          <w:szCs w:val="28"/>
        </w:rPr>
        <w:fldChar w:fldCharType="separate"/>
      </w:r>
      <w:r w:rsidR="004040E3">
        <w:rPr>
          <w:b/>
          <w:bCs/>
          <w:noProof/>
          <w:sz w:val="28"/>
          <w:szCs w:val="28"/>
        </w:rPr>
        <w:t>потребности в кадрах экономики Сахалинской области на 2018</w:t>
      </w:r>
      <w:r w:rsidR="0081607B">
        <w:rPr>
          <w:b/>
          <w:bCs/>
          <w:noProof/>
          <w:sz w:val="28"/>
          <w:szCs w:val="28"/>
        </w:rPr>
        <w:t xml:space="preserve"> </w:t>
      </w:r>
      <w:r w:rsidR="004040E3">
        <w:rPr>
          <w:b/>
          <w:bCs/>
          <w:noProof/>
          <w:sz w:val="28"/>
          <w:szCs w:val="28"/>
        </w:rPr>
        <w:t>-</w:t>
      </w:r>
      <w:r w:rsidR="0081607B">
        <w:rPr>
          <w:b/>
          <w:bCs/>
          <w:noProof/>
          <w:sz w:val="28"/>
          <w:szCs w:val="28"/>
        </w:rPr>
        <w:t xml:space="preserve"> </w:t>
      </w:r>
      <w:r w:rsidR="004040E3">
        <w:rPr>
          <w:b/>
          <w:bCs/>
          <w:noProof/>
          <w:sz w:val="28"/>
          <w:szCs w:val="28"/>
        </w:rPr>
        <w:t>2024 годы</w:t>
      </w:r>
      <w:r w:rsidR="004040E3">
        <w:rPr>
          <w:b/>
          <w:bCs/>
          <w:sz w:val="28"/>
          <w:szCs w:val="28"/>
        </w:rPr>
        <w:fldChar w:fldCharType="end"/>
      </w:r>
    </w:p>
    <w:p w14:paraId="2F9BEE0F" w14:textId="77777777" w:rsidR="00765FB3" w:rsidRDefault="00765FB3" w:rsidP="00765FB3">
      <w:pPr>
        <w:spacing w:after="480"/>
        <w:jc w:val="both"/>
        <w:rPr>
          <w:b/>
          <w:bCs/>
          <w:sz w:val="28"/>
          <w:szCs w:val="28"/>
        </w:rPr>
      </w:pPr>
    </w:p>
    <w:p w14:paraId="2F9BEE10" w14:textId="77777777" w:rsidR="00765FB3" w:rsidRDefault="00765FB3" w:rsidP="00765FB3">
      <w:pPr>
        <w:spacing w:after="480"/>
        <w:jc w:val="both"/>
        <w:rPr>
          <w:b/>
          <w:bCs/>
          <w:sz w:val="28"/>
          <w:szCs w:val="28"/>
        </w:rPr>
        <w:sectPr w:rsidR="00765FB3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84F10E1" w14:textId="785EDF12" w:rsidR="004040E3" w:rsidRPr="0081607B" w:rsidRDefault="004040E3" w:rsidP="00816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1607B">
        <w:rPr>
          <w:rFonts w:eastAsiaTheme="minorEastAsia"/>
          <w:sz w:val="28"/>
          <w:szCs w:val="28"/>
        </w:rPr>
        <w:t>Прогноз потребности в кадрах экономики Сахалинской области на</w:t>
      </w:r>
      <w:r w:rsidR="00883522" w:rsidRPr="0081607B">
        <w:rPr>
          <w:rFonts w:eastAsiaTheme="minorEastAsia"/>
          <w:sz w:val="28"/>
          <w:szCs w:val="28"/>
        </w:rPr>
        <w:t xml:space="preserve">  </w:t>
      </w:r>
      <w:r w:rsidRPr="0081607B">
        <w:rPr>
          <w:rFonts w:eastAsiaTheme="minorEastAsia"/>
          <w:sz w:val="28"/>
          <w:szCs w:val="28"/>
        </w:rPr>
        <w:t xml:space="preserve">2018 - 2024 годы (далее </w:t>
      </w:r>
      <w:r w:rsidR="0081607B" w:rsidRPr="0081607B">
        <w:rPr>
          <w:rFonts w:eastAsiaTheme="minorEastAsia"/>
          <w:sz w:val="28"/>
          <w:szCs w:val="28"/>
        </w:rPr>
        <w:t>-</w:t>
      </w:r>
      <w:r w:rsidRPr="0081607B">
        <w:rPr>
          <w:rFonts w:eastAsiaTheme="minorEastAsia"/>
          <w:sz w:val="28"/>
          <w:szCs w:val="28"/>
        </w:rPr>
        <w:t xml:space="preserve"> Прогноз) разработан в целях повышения эффективности подготовки профессиональных кадров для обеспечения социально-экономического развития Сахалинской области и в соответствии с </w:t>
      </w:r>
      <w:hyperlink r:id="rId11" w:tooltip="Постановление Правительства Сахалинской области от 03.12.2013 N 674 &quot;Об утверждении Регламента формирования прогноза потребности в кадрах экономики Сахалинской области&quot;------------ Утратил силу или отменен{КонсультантПлюс}" w:history="1">
        <w:r w:rsidRPr="0081607B">
          <w:rPr>
            <w:rFonts w:eastAsiaTheme="minorEastAsia"/>
            <w:sz w:val="28"/>
            <w:szCs w:val="28"/>
          </w:rPr>
          <w:t>Регламентом</w:t>
        </w:r>
      </w:hyperlink>
      <w:r w:rsidRPr="0081607B">
        <w:rPr>
          <w:rFonts w:eastAsiaTheme="minorEastAsia"/>
          <w:sz w:val="28"/>
          <w:szCs w:val="28"/>
        </w:rPr>
        <w:t xml:space="preserve"> формирования прогноза потребности в кадрах экономики Сахалинской области, утвержденным постановлением Правительства Сахалинской области от 30.09.2016 № 489.</w:t>
      </w:r>
    </w:p>
    <w:p w14:paraId="0C47815A" w14:textId="373C0B1F" w:rsidR="004040E3" w:rsidRPr="0081607B" w:rsidRDefault="004040E3" w:rsidP="00816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1607B">
        <w:rPr>
          <w:rFonts w:eastAsiaTheme="minorEastAsia"/>
          <w:sz w:val="28"/>
          <w:szCs w:val="28"/>
        </w:rPr>
        <w:t>В соответствии с п</w:t>
      </w:r>
      <w:r w:rsidR="00883522" w:rsidRPr="0081607B">
        <w:rPr>
          <w:rFonts w:eastAsiaTheme="minorEastAsia"/>
          <w:sz w:val="28"/>
          <w:szCs w:val="28"/>
        </w:rPr>
        <w:t>одразделом</w:t>
      </w:r>
      <w:r w:rsidRPr="0081607B">
        <w:rPr>
          <w:rFonts w:eastAsiaTheme="minorEastAsia"/>
          <w:sz w:val="28"/>
          <w:szCs w:val="28"/>
        </w:rPr>
        <w:t xml:space="preserve"> 2.3 Регламента формирования прогноза потребности в кадрах экономики Сахалинской области предусмотрен ежегодный мониторинг и корректировка региональной кадровой потребности.</w:t>
      </w:r>
    </w:p>
    <w:p w14:paraId="2E3A05AE" w14:textId="4343463A" w:rsidR="004040E3" w:rsidRPr="0081607B" w:rsidRDefault="004040E3" w:rsidP="00816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1607B">
        <w:rPr>
          <w:rFonts w:eastAsiaTheme="minorEastAsia"/>
          <w:sz w:val="28"/>
          <w:szCs w:val="28"/>
        </w:rPr>
        <w:lastRenderedPageBreak/>
        <w:t>При разработке Прогноза использованы сведения работодателей, представленные органами исполнительной власти</w:t>
      </w:r>
      <w:r w:rsidR="005417AA" w:rsidRPr="0081607B">
        <w:rPr>
          <w:rFonts w:eastAsiaTheme="minorEastAsia"/>
          <w:sz w:val="28"/>
          <w:szCs w:val="28"/>
        </w:rPr>
        <w:t xml:space="preserve"> Сахалинской области</w:t>
      </w:r>
      <w:r w:rsidRPr="0081607B">
        <w:rPr>
          <w:rFonts w:eastAsiaTheme="minorEastAsia"/>
          <w:sz w:val="28"/>
          <w:szCs w:val="28"/>
        </w:rPr>
        <w:t>, органами местного самоуправления</w:t>
      </w:r>
      <w:r w:rsidR="005417AA" w:rsidRPr="0081607B">
        <w:rPr>
          <w:rFonts w:eastAsiaTheme="minorEastAsia"/>
          <w:sz w:val="28"/>
          <w:szCs w:val="28"/>
        </w:rPr>
        <w:t xml:space="preserve"> муниципальных образований</w:t>
      </w:r>
      <w:r w:rsidRPr="0081607B">
        <w:rPr>
          <w:rFonts w:eastAsiaTheme="minorEastAsia"/>
          <w:sz w:val="28"/>
          <w:szCs w:val="28"/>
        </w:rPr>
        <w:t xml:space="preserve"> Сахалинской области. </w:t>
      </w:r>
    </w:p>
    <w:p w14:paraId="02F8AF98" w14:textId="77777777" w:rsidR="004040E3" w:rsidRPr="0081607B" w:rsidRDefault="004040E3" w:rsidP="00816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1607B">
        <w:rPr>
          <w:rFonts w:eastAsiaTheme="minorEastAsia"/>
          <w:sz w:val="28"/>
          <w:szCs w:val="28"/>
        </w:rPr>
        <w:t>Прогноз сформирован с целью выработки и принятия стратегических, оперативных мер в сфере государственного регулирования рынка труда и рынка образовательных услуг, развития кадрового потенциала в отраслях экономики и социальной сферы на принципах согласования интересов всех заинтересованных участников социально-экономических процессов (органов исполнительной власти, местного самоуправления, хозяйствующих субъектов, образовательных организаций).</w:t>
      </w:r>
    </w:p>
    <w:p w14:paraId="1975035B" w14:textId="2B72A164" w:rsidR="004040E3" w:rsidRPr="0081607B" w:rsidRDefault="004040E3" w:rsidP="0081607B">
      <w:pPr>
        <w:spacing w:line="360" w:lineRule="auto"/>
        <w:ind w:firstLine="709"/>
        <w:jc w:val="both"/>
        <w:rPr>
          <w:sz w:val="28"/>
          <w:szCs w:val="28"/>
        </w:rPr>
      </w:pPr>
      <w:r w:rsidRPr="0081607B">
        <w:rPr>
          <w:sz w:val="28"/>
          <w:szCs w:val="28"/>
        </w:rPr>
        <w:t>В качества основного метода сбора информации использовался опрос работодателей различных форм собственности хозяйствующих субъектов области о потребности в рабочих и специалистах необходимого профессионально-квалификационного состава на замену выбывающих работников, на введенные новые рабочие места, в том числе в рамках инвестиционных проектов.</w:t>
      </w:r>
    </w:p>
    <w:p w14:paraId="390E8930" w14:textId="77777777" w:rsidR="004040E3" w:rsidRPr="0081607B" w:rsidRDefault="004040E3" w:rsidP="0081607B">
      <w:pPr>
        <w:spacing w:line="360" w:lineRule="auto"/>
        <w:ind w:firstLine="709"/>
        <w:jc w:val="both"/>
        <w:rPr>
          <w:sz w:val="28"/>
          <w:szCs w:val="28"/>
        </w:rPr>
      </w:pPr>
      <w:r w:rsidRPr="0081607B">
        <w:rPr>
          <w:sz w:val="28"/>
          <w:szCs w:val="28"/>
        </w:rPr>
        <w:t xml:space="preserve">При формировании Прогноза работодателями учитывалось естественное движение кадров, возрастной состав персонала, а также перспективы </w:t>
      </w:r>
      <w:r w:rsidRPr="0081607B">
        <w:rPr>
          <w:sz w:val="28"/>
          <w:szCs w:val="28"/>
        </w:rPr>
        <w:lastRenderedPageBreak/>
        <w:t>дальнейшего развития организации (расширение производства, модернизация и т.д.).</w:t>
      </w:r>
    </w:p>
    <w:p w14:paraId="7DB1B9B8" w14:textId="77777777" w:rsidR="004040E3" w:rsidRPr="0081607B" w:rsidRDefault="004040E3" w:rsidP="0081607B">
      <w:pPr>
        <w:spacing w:line="360" w:lineRule="auto"/>
        <w:ind w:firstLine="709"/>
        <w:jc w:val="both"/>
        <w:rPr>
          <w:sz w:val="28"/>
          <w:szCs w:val="28"/>
        </w:rPr>
      </w:pPr>
      <w:r w:rsidRPr="0081607B">
        <w:rPr>
          <w:sz w:val="28"/>
          <w:szCs w:val="28"/>
        </w:rPr>
        <w:t xml:space="preserve">Потребность в кадрах определялась в разрезе профессий (специальностей) высшего, среднего и дополнительного профессионального образования, а также видов экономической деятельности. </w:t>
      </w:r>
    </w:p>
    <w:p w14:paraId="262ECC65" w14:textId="308F1FB0" w:rsidR="004040E3" w:rsidRPr="0081607B" w:rsidRDefault="004040E3" w:rsidP="0081607B">
      <w:pPr>
        <w:spacing w:line="360" w:lineRule="auto"/>
        <w:ind w:firstLine="709"/>
        <w:jc w:val="both"/>
        <w:rPr>
          <w:sz w:val="28"/>
          <w:szCs w:val="28"/>
        </w:rPr>
      </w:pPr>
      <w:r w:rsidRPr="0081607B">
        <w:rPr>
          <w:sz w:val="28"/>
          <w:szCs w:val="28"/>
        </w:rPr>
        <w:t xml:space="preserve">В обследовании участвовало около 900 организаций (доля организаций, предоставивших данные, в общем количестве хозяйствующих субъектов составила около 6%, что практически на уровне 2017 года), в их числе </w:t>
      </w:r>
      <w:r w:rsidR="0081607B" w:rsidRPr="0081607B">
        <w:rPr>
          <w:sz w:val="28"/>
          <w:szCs w:val="28"/>
        </w:rPr>
        <w:br/>
      </w:r>
      <w:r w:rsidRPr="0081607B">
        <w:rPr>
          <w:sz w:val="28"/>
          <w:szCs w:val="28"/>
        </w:rPr>
        <w:t>17</w:t>
      </w:r>
      <w:r w:rsidR="00883522" w:rsidRPr="0081607B">
        <w:rPr>
          <w:sz w:val="28"/>
          <w:szCs w:val="28"/>
        </w:rPr>
        <w:t xml:space="preserve"> - </w:t>
      </w:r>
      <w:r w:rsidRPr="0081607B">
        <w:rPr>
          <w:sz w:val="28"/>
          <w:szCs w:val="28"/>
        </w:rPr>
        <w:t xml:space="preserve">участвующие в реализации инвестиционных проектов - АО «Мерси </w:t>
      </w:r>
      <w:r w:rsidR="0081607B" w:rsidRPr="0081607B">
        <w:rPr>
          <w:sz w:val="28"/>
          <w:szCs w:val="28"/>
        </w:rPr>
        <w:br/>
      </w:r>
      <w:r w:rsidRPr="0081607B">
        <w:rPr>
          <w:sz w:val="28"/>
          <w:szCs w:val="28"/>
        </w:rPr>
        <w:t>Агро Сахалин», АО «Совхоз Тепличный», Сахалинская ГРЭС-2, АО «Совхоз Корсаковский» и другие.</w:t>
      </w:r>
    </w:p>
    <w:p w14:paraId="6C63FE9A" w14:textId="77777777" w:rsidR="004040E3" w:rsidRPr="0081607B" w:rsidRDefault="004040E3" w:rsidP="0081607B">
      <w:pPr>
        <w:spacing w:line="360" w:lineRule="auto"/>
        <w:ind w:firstLine="709"/>
        <w:jc w:val="both"/>
        <w:rPr>
          <w:sz w:val="28"/>
          <w:szCs w:val="28"/>
        </w:rPr>
      </w:pPr>
      <w:r w:rsidRPr="0081607B">
        <w:rPr>
          <w:sz w:val="28"/>
          <w:szCs w:val="28"/>
        </w:rPr>
        <w:t>Вместе с тем по данным Сахалинстата на 01 апреля 2018 года по сравнению с аналогичным периодом 2017 года число хозяйствующих субъектов уменьшилось на 734 (4,3%) и составило 16430 единиц.</w:t>
      </w:r>
    </w:p>
    <w:p w14:paraId="532B57D3" w14:textId="7FFCD1E6" w:rsidR="004040E3" w:rsidRPr="0081607B" w:rsidRDefault="004040E3" w:rsidP="0081607B">
      <w:pPr>
        <w:spacing w:line="360" w:lineRule="auto"/>
        <w:ind w:firstLine="709"/>
        <w:jc w:val="both"/>
        <w:rPr>
          <w:sz w:val="28"/>
          <w:szCs w:val="28"/>
        </w:rPr>
      </w:pPr>
      <w:r w:rsidRPr="0081607B">
        <w:rPr>
          <w:sz w:val="28"/>
          <w:szCs w:val="28"/>
        </w:rPr>
        <w:t>По результатам опроса работодателей на 2018</w:t>
      </w:r>
      <w:r w:rsidR="00883522" w:rsidRPr="0081607B">
        <w:rPr>
          <w:sz w:val="28"/>
          <w:szCs w:val="28"/>
        </w:rPr>
        <w:t xml:space="preserve"> </w:t>
      </w:r>
      <w:r w:rsidRPr="0081607B">
        <w:rPr>
          <w:sz w:val="28"/>
          <w:szCs w:val="28"/>
        </w:rPr>
        <w:t>-</w:t>
      </w:r>
      <w:r w:rsidR="00883522" w:rsidRPr="0081607B">
        <w:rPr>
          <w:sz w:val="28"/>
          <w:szCs w:val="28"/>
        </w:rPr>
        <w:t xml:space="preserve"> </w:t>
      </w:r>
      <w:r w:rsidRPr="0081607B">
        <w:rPr>
          <w:sz w:val="28"/>
          <w:szCs w:val="28"/>
        </w:rPr>
        <w:t xml:space="preserve">2024 годы потребность организаций в кадрах сократилась </w:t>
      </w:r>
      <w:r w:rsidRPr="0081607B">
        <w:rPr>
          <w:rFonts w:eastAsiaTheme="minorEastAsia"/>
          <w:sz w:val="28"/>
          <w:szCs w:val="28"/>
        </w:rPr>
        <w:t xml:space="preserve">по сравнению с прошлым обследуемым периодом в таких видах экономических деятельности как «Добыча полезных ископаемых», «Государственное управление и обеспечение военной безопасности», «Строительство», «Торговля оптовая и розничная; ремонт </w:t>
      </w:r>
      <w:r w:rsidRPr="0081607B">
        <w:rPr>
          <w:rFonts w:eastAsiaTheme="minorEastAsia"/>
          <w:sz w:val="28"/>
          <w:szCs w:val="28"/>
        </w:rPr>
        <w:lastRenderedPageBreak/>
        <w:t>автотранспортных средств и мотоциклов», «Водоснабжение; водоотведение, организация сбора и утилизации отходов, деятельность по ликвидации загрязнений»</w:t>
      </w:r>
      <w:r w:rsidR="00B73D8E" w:rsidRPr="0081607B">
        <w:rPr>
          <w:rFonts w:eastAsiaTheme="minorEastAsia"/>
          <w:sz w:val="28"/>
          <w:szCs w:val="28"/>
        </w:rPr>
        <w:t>.</w:t>
      </w:r>
    </w:p>
    <w:p w14:paraId="0387F810" w14:textId="758AC520" w:rsidR="004040E3" w:rsidRPr="0081607B" w:rsidRDefault="004040E3" w:rsidP="0081607B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1607B">
        <w:rPr>
          <w:rFonts w:eastAsiaTheme="minorEastAsia"/>
          <w:sz w:val="28"/>
          <w:szCs w:val="28"/>
        </w:rPr>
        <w:t xml:space="preserve">По прогнозным данным дополнительная потребность в кадрах предприятий и организаций области, принявших участие в опросе, в период </w:t>
      </w:r>
      <w:r w:rsidR="0081607B">
        <w:rPr>
          <w:rFonts w:eastAsiaTheme="minorEastAsia"/>
          <w:sz w:val="28"/>
          <w:szCs w:val="28"/>
        </w:rPr>
        <w:br/>
      </w:r>
      <w:r w:rsidRPr="0081607B">
        <w:rPr>
          <w:rFonts w:eastAsiaTheme="minorEastAsia"/>
          <w:sz w:val="28"/>
          <w:szCs w:val="28"/>
        </w:rPr>
        <w:t>2018</w:t>
      </w:r>
      <w:r w:rsidR="00883522" w:rsidRPr="0081607B">
        <w:rPr>
          <w:rFonts w:eastAsiaTheme="minorEastAsia"/>
          <w:sz w:val="28"/>
          <w:szCs w:val="28"/>
        </w:rPr>
        <w:t xml:space="preserve"> </w:t>
      </w:r>
      <w:r w:rsidRPr="0081607B">
        <w:rPr>
          <w:rFonts w:eastAsiaTheme="minorEastAsia"/>
          <w:sz w:val="28"/>
          <w:szCs w:val="28"/>
        </w:rPr>
        <w:t>-</w:t>
      </w:r>
      <w:r w:rsidR="00883522" w:rsidRPr="0081607B">
        <w:rPr>
          <w:rFonts w:eastAsiaTheme="minorEastAsia"/>
          <w:sz w:val="28"/>
          <w:szCs w:val="28"/>
        </w:rPr>
        <w:t xml:space="preserve"> </w:t>
      </w:r>
      <w:r w:rsidRPr="0081607B">
        <w:rPr>
          <w:rFonts w:eastAsiaTheme="minorEastAsia"/>
          <w:sz w:val="28"/>
          <w:szCs w:val="28"/>
        </w:rPr>
        <w:t>2024 год</w:t>
      </w:r>
      <w:r w:rsidR="00883522" w:rsidRPr="0081607B">
        <w:rPr>
          <w:rFonts w:eastAsiaTheme="minorEastAsia"/>
          <w:sz w:val="28"/>
          <w:szCs w:val="28"/>
        </w:rPr>
        <w:t>ов</w:t>
      </w:r>
      <w:r w:rsidRPr="0081607B">
        <w:rPr>
          <w:rFonts w:eastAsiaTheme="minorEastAsia"/>
          <w:sz w:val="28"/>
          <w:szCs w:val="28"/>
        </w:rPr>
        <w:t xml:space="preserve"> составит </w:t>
      </w:r>
      <w:r w:rsidR="00B73D8E" w:rsidRPr="0081607B">
        <w:rPr>
          <w:rFonts w:eastAsiaTheme="minorEastAsia"/>
          <w:sz w:val="28"/>
          <w:szCs w:val="28"/>
        </w:rPr>
        <w:t>16,</w:t>
      </w:r>
      <w:r w:rsidR="00E5415F" w:rsidRPr="0081607B">
        <w:rPr>
          <w:rFonts w:eastAsiaTheme="minorEastAsia"/>
          <w:sz w:val="28"/>
          <w:szCs w:val="28"/>
        </w:rPr>
        <w:t>8</w:t>
      </w:r>
      <w:r w:rsidRPr="0081607B">
        <w:rPr>
          <w:rFonts w:eastAsiaTheme="minorEastAsia"/>
          <w:sz w:val="28"/>
          <w:szCs w:val="28"/>
        </w:rPr>
        <w:t xml:space="preserve"> тыс. человек, в том числе</w:t>
      </w:r>
      <w:r w:rsidR="00883522" w:rsidRPr="0081607B">
        <w:rPr>
          <w:rFonts w:eastAsiaTheme="minorEastAsia"/>
          <w:sz w:val="28"/>
          <w:szCs w:val="28"/>
        </w:rPr>
        <w:t>:</w:t>
      </w:r>
      <w:r w:rsidRPr="0081607B">
        <w:rPr>
          <w:rFonts w:eastAsiaTheme="minorEastAsia"/>
          <w:sz w:val="28"/>
          <w:szCs w:val="28"/>
        </w:rPr>
        <w:t xml:space="preserve"> на 2018 год </w:t>
      </w:r>
      <w:r w:rsidR="0081607B">
        <w:rPr>
          <w:rFonts w:eastAsiaTheme="minorEastAsia"/>
          <w:sz w:val="28"/>
          <w:szCs w:val="28"/>
        </w:rPr>
        <w:t>-</w:t>
      </w:r>
      <w:r w:rsidRPr="0081607B">
        <w:rPr>
          <w:rFonts w:eastAsiaTheme="minorEastAsia"/>
          <w:sz w:val="28"/>
          <w:szCs w:val="28"/>
        </w:rPr>
        <w:t xml:space="preserve"> </w:t>
      </w:r>
      <w:r w:rsidR="0081607B">
        <w:rPr>
          <w:rFonts w:eastAsiaTheme="minorEastAsia"/>
          <w:sz w:val="28"/>
          <w:szCs w:val="28"/>
        </w:rPr>
        <w:br/>
      </w:r>
      <w:r w:rsidRPr="0081607B">
        <w:rPr>
          <w:rFonts w:eastAsiaTheme="minorEastAsia"/>
          <w:sz w:val="28"/>
          <w:szCs w:val="28"/>
        </w:rPr>
        <w:t>5,5 тыс.</w:t>
      </w:r>
      <w:r w:rsidR="00883522" w:rsidRPr="0081607B">
        <w:rPr>
          <w:rFonts w:eastAsiaTheme="minorEastAsia"/>
          <w:sz w:val="28"/>
          <w:szCs w:val="28"/>
        </w:rPr>
        <w:t xml:space="preserve"> человек</w:t>
      </w:r>
      <w:r w:rsidRPr="0081607B">
        <w:rPr>
          <w:rFonts w:eastAsiaTheme="minorEastAsia"/>
          <w:sz w:val="28"/>
          <w:szCs w:val="28"/>
        </w:rPr>
        <w:t xml:space="preserve">, 2019 год </w:t>
      </w:r>
      <w:r w:rsidR="0081607B">
        <w:rPr>
          <w:rFonts w:eastAsiaTheme="minorEastAsia"/>
          <w:sz w:val="28"/>
          <w:szCs w:val="28"/>
        </w:rPr>
        <w:t>-</w:t>
      </w:r>
      <w:r w:rsidRPr="0081607B">
        <w:rPr>
          <w:rFonts w:eastAsiaTheme="minorEastAsia"/>
          <w:sz w:val="28"/>
          <w:szCs w:val="28"/>
        </w:rPr>
        <w:t xml:space="preserve"> 2,5 тыс.</w:t>
      </w:r>
      <w:r w:rsidR="00883522" w:rsidRPr="0081607B">
        <w:rPr>
          <w:rFonts w:eastAsiaTheme="minorEastAsia"/>
          <w:sz w:val="28"/>
          <w:szCs w:val="28"/>
        </w:rPr>
        <w:t xml:space="preserve"> человек</w:t>
      </w:r>
      <w:r w:rsidRPr="0081607B">
        <w:rPr>
          <w:rFonts w:eastAsiaTheme="minorEastAsia"/>
          <w:sz w:val="28"/>
          <w:szCs w:val="28"/>
        </w:rPr>
        <w:t xml:space="preserve">, 2020 год </w:t>
      </w:r>
      <w:r w:rsidR="0081607B">
        <w:rPr>
          <w:rFonts w:eastAsiaTheme="minorEastAsia"/>
          <w:sz w:val="28"/>
          <w:szCs w:val="28"/>
        </w:rPr>
        <w:t>-</w:t>
      </w:r>
      <w:r w:rsidRPr="0081607B">
        <w:rPr>
          <w:rFonts w:eastAsiaTheme="minorEastAsia"/>
          <w:sz w:val="28"/>
          <w:szCs w:val="28"/>
        </w:rPr>
        <w:t xml:space="preserve"> 2,1 </w:t>
      </w:r>
      <w:r w:rsidR="00883522" w:rsidRPr="0081607B">
        <w:rPr>
          <w:rFonts w:eastAsiaTheme="minorEastAsia"/>
          <w:sz w:val="28"/>
          <w:szCs w:val="28"/>
        </w:rPr>
        <w:t>тыс. человек,</w:t>
      </w:r>
      <w:r w:rsidRPr="0081607B">
        <w:rPr>
          <w:rFonts w:eastAsiaTheme="minorEastAsia"/>
          <w:sz w:val="28"/>
          <w:szCs w:val="28"/>
        </w:rPr>
        <w:t xml:space="preserve"> </w:t>
      </w:r>
      <w:r w:rsidR="0081607B">
        <w:rPr>
          <w:rFonts w:eastAsiaTheme="minorEastAsia"/>
          <w:sz w:val="28"/>
          <w:szCs w:val="28"/>
        </w:rPr>
        <w:br/>
      </w:r>
      <w:r w:rsidRPr="0081607B">
        <w:rPr>
          <w:rFonts w:eastAsiaTheme="minorEastAsia"/>
          <w:sz w:val="28"/>
          <w:szCs w:val="28"/>
        </w:rPr>
        <w:t xml:space="preserve">2021 год </w:t>
      </w:r>
      <w:r w:rsidR="0081607B">
        <w:rPr>
          <w:rFonts w:eastAsiaTheme="minorEastAsia"/>
          <w:sz w:val="28"/>
          <w:szCs w:val="28"/>
        </w:rPr>
        <w:t>-</w:t>
      </w:r>
      <w:r w:rsidRPr="0081607B">
        <w:rPr>
          <w:rFonts w:eastAsiaTheme="minorEastAsia"/>
          <w:sz w:val="28"/>
          <w:szCs w:val="28"/>
        </w:rPr>
        <w:t xml:space="preserve"> 2,0 тыс.</w:t>
      </w:r>
      <w:r w:rsidR="00883522" w:rsidRPr="0081607B">
        <w:rPr>
          <w:rFonts w:eastAsiaTheme="minorEastAsia"/>
          <w:sz w:val="28"/>
          <w:szCs w:val="28"/>
        </w:rPr>
        <w:t xml:space="preserve"> человек</w:t>
      </w:r>
      <w:r w:rsidRPr="0081607B">
        <w:rPr>
          <w:rFonts w:eastAsiaTheme="minorEastAsia"/>
          <w:sz w:val="28"/>
          <w:szCs w:val="28"/>
        </w:rPr>
        <w:t xml:space="preserve">, 2022 год </w:t>
      </w:r>
      <w:r w:rsidR="0081607B">
        <w:rPr>
          <w:rFonts w:eastAsiaTheme="minorEastAsia"/>
          <w:sz w:val="28"/>
          <w:szCs w:val="28"/>
        </w:rPr>
        <w:t>-</w:t>
      </w:r>
      <w:r w:rsidRPr="0081607B">
        <w:rPr>
          <w:rFonts w:eastAsiaTheme="minorEastAsia"/>
          <w:sz w:val="28"/>
          <w:szCs w:val="28"/>
        </w:rPr>
        <w:t xml:space="preserve"> 1,8 тыс.</w:t>
      </w:r>
      <w:r w:rsidR="00883522" w:rsidRPr="0081607B">
        <w:rPr>
          <w:rFonts w:eastAsiaTheme="minorEastAsia"/>
          <w:sz w:val="28"/>
          <w:szCs w:val="28"/>
        </w:rPr>
        <w:t xml:space="preserve"> человек</w:t>
      </w:r>
      <w:r w:rsidRPr="0081607B">
        <w:rPr>
          <w:rFonts w:eastAsiaTheme="minorEastAsia"/>
          <w:sz w:val="28"/>
          <w:szCs w:val="28"/>
        </w:rPr>
        <w:t xml:space="preserve">, 2023 год </w:t>
      </w:r>
      <w:r w:rsidR="0081607B">
        <w:rPr>
          <w:rFonts w:eastAsiaTheme="minorEastAsia"/>
          <w:sz w:val="28"/>
          <w:szCs w:val="28"/>
        </w:rPr>
        <w:t>-</w:t>
      </w:r>
      <w:r w:rsidRPr="0081607B">
        <w:rPr>
          <w:rFonts w:eastAsiaTheme="minorEastAsia"/>
          <w:sz w:val="28"/>
          <w:szCs w:val="28"/>
        </w:rPr>
        <w:t xml:space="preserve"> 1,7 тыс</w:t>
      </w:r>
      <w:r w:rsidR="00883522" w:rsidRPr="0081607B">
        <w:rPr>
          <w:rFonts w:eastAsiaTheme="minorEastAsia"/>
          <w:sz w:val="28"/>
          <w:szCs w:val="28"/>
        </w:rPr>
        <w:t xml:space="preserve">. </w:t>
      </w:r>
      <w:r w:rsidR="0081607B">
        <w:rPr>
          <w:rFonts w:eastAsiaTheme="minorEastAsia"/>
          <w:sz w:val="28"/>
          <w:szCs w:val="28"/>
        </w:rPr>
        <w:br/>
      </w:r>
      <w:r w:rsidR="00883522" w:rsidRPr="0081607B">
        <w:rPr>
          <w:rFonts w:eastAsiaTheme="minorEastAsia"/>
          <w:sz w:val="28"/>
          <w:szCs w:val="28"/>
        </w:rPr>
        <w:t>человек,</w:t>
      </w:r>
      <w:r w:rsidRPr="0081607B">
        <w:rPr>
          <w:rFonts w:eastAsiaTheme="minorEastAsia"/>
          <w:sz w:val="28"/>
          <w:szCs w:val="28"/>
        </w:rPr>
        <w:t xml:space="preserve"> 2024 год </w:t>
      </w:r>
      <w:r w:rsidR="0081607B">
        <w:rPr>
          <w:rFonts w:eastAsiaTheme="minorEastAsia"/>
          <w:sz w:val="28"/>
          <w:szCs w:val="28"/>
        </w:rPr>
        <w:t>-</w:t>
      </w:r>
      <w:r w:rsidRPr="0081607B">
        <w:rPr>
          <w:rFonts w:eastAsiaTheme="minorEastAsia"/>
          <w:sz w:val="28"/>
          <w:szCs w:val="28"/>
        </w:rPr>
        <w:t xml:space="preserve"> 1,3 тыс. человек.</w:t>
      </w:r>
    </w:p>
    <w:p w14:paraId="12441D49" w14:textId="3E5CA943" w:rsidR="004040E3" w:rsidRPr="0081607B" w:rsidRDefault="004040E3" w:rsidP="0081607B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1607B">
        <w:rPr>
          <w:rFonts w:eastAsiaTheme="minorEastAsia"/>
          <w:sz w:val="28"/>
          <w:szCs w:val="28"/>
        </w:rPr>
        <w:t>С 2018 по 2024 год потребность работодателей в персонале, имеющем рабочие профессии, возрастет с 74,3% до 78,0%, в руководителях</w:t>
      </w:r>
      <w:r w:rsidR="00883522" w:rsidRPr="0081607B">
        <w:rPr>
          <w:rFonts w:eastAsiaTheme="minorEastAsia"/>
          <w:sz w:val="28"/>
          <w:szCs w:val="28"/>
        </w:rPr>
        <w:t xml:space="preserve"> и специалистах снизится на 3,6</w:t>
      </w:r>
      <w:r w:rsidRPr="0081607B">
        <w:rPr>
          <w:rFonts w:eastAsiaTheme="minorEastAsia"/>
          <w:sz w:val="28"/>
          <w:szCs w:val="28"/>
        </w:rPr>
        <w:t xml:space="preserve">% и составит 22,0%. </w:t>
      </w:r>
    </w:p>
    <w:p w14:paraId="5A243815" w14:textId="264473B9" w:rsidR="004040E3" w:rsidRPr="0081607B" w:rsidRDefault="004040E3" w:rsidP="0081607B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1607B">
        <w:rPr>
          <w:rFonts w:eastAsiaTheme="minorEastAsia"/>
          <w:sz w:val="28"/>
          <w:szCs w:val="28"/>
        </w:rPr>
        <w:t>Общая дополнительная потребность в кадрах на 2018</w:t>
      </w:r>
      <w:r w:rsidR="00883522" w:rsidRPr="0081607B">
        <w:rPr>
          <w:rFonts w:eastAsiaTheme="minorEastAsia"/>
          <w:sz w:val="28"/>
          <w:szCs w:val="28"/>
        </w:rPr>
        <w:t xml:space="preserve"> </w:t>
      </w:r>
      <w:r w:rsidRPr="0081607B">
        <w:rPr>
          <w:rFonts w:eastAsiaTheme="minorEastAsia"/>
          <w:sz w:val="28"/>
          <w:szCs w:val="28"/>
        </w:rPr>
        <w:t>-</w:t>
      </w:r>
      <w:r w:rsidR="00883522" w:rsidRPr="0081607B">
        <w:rPr>
          <w:rFonts w:eastAsiaTheme="minorEastAsia"/>
          <w:sz w:val="28"/>
          <w:szCs w:val="28"/>
        </w:rPr>
        <w:t xml:space="preserve"> </w:t>
      </w:r>
      <w:r w:rsidRPr="0081607B">
        <w:rPr>
          <w:rFonts w:eastAsiaTheme="minorEastAsia"/>
          <w:sz w:val="28"/>
          <w:szCs w:val="28"/>
        </w:rPr>
        <w:t>2024 годы по уровню профессионального образования распределилась:</w:t>
      </w:r>
    </w:p>
    <w:p w14:paraId="3A88712B" w14:textId="77777777" w:rsidR="004040E3" w:rsidRPr="0081607B" w:rsidRDefault="004040E3" w:rsidP="0081607B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1607B">
        <w:rPr>
          <w:rFonts w:eastAsiaTheme="minorEastAsia"/>
          <w:sz w:val="28"/>
          <w:szCs w:val="28"/>
        </w:rPr>
        <w:t>высшее образование – 4,6 тыс. человек (27,4% от общей потребности в кадрах);</w:t>
      </w:r>
    </w:p>
    <w:p w14:paraId="1F6A5BE9" w14:textId="67B963B8" w:rsidR="004040E3" w:rsidRPr="0081607B" w:rsidRDefault="004040E3" w:rsidP="0081607B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1607B">
        <w:rPr>
          <w:rFonts w:eastAsiaTheme="minorEastAsia"/>
          <w:sz w:val="28"/>
          <w:szCs w:val="28"/>
        </w:rPr>
        <w:t>среднее профессиональное образование по программам подготовки специалистов среднего звена – 2,1 тыс. человек (12,3%</w:t>
      </w:r>
      <w:r w:rsidR="00B73D8E" w:rsidRPr="0081607B">
        <w:rPr>
          <w:sz w:val="28"/>
          <w:szCs w:val="28"/>
        </w:rPr>
        <w:t xml:space="preserve"> </w:t>
      </w:r>
      <w:r w:rsidR="00B73D8E" w:rsidRPr="0081607B">
        <w:rPr>
          <w:rFonts w:eastAsiaTheme="minorEastAsia"/>
          <w:sz w:val="28"/>
          <w:szCs w:val="28"/>
        </w:rPr>
        <w:t>от общей потребности в кадрах</w:t>
      </w:r>
      <w:r w:rsidRPr="0081607B">
        <w:rPr>
          <w:rFonts w:eastAsiaTheme="minorEastAsia"/>
          <w:sz w:val="28"/>
          <w:szCs w:val="28"/>
        </w:rPr>
        <w:t>);</w:t>
      </w:r>
    </w:p>
    <w:p w14:paraId="4E54B297" w14:textId="3DC0E849" w:rsidR="004040E3" w:rsidRPr="0081607B" w:rsidRDefault="004040E3" w:rsidP="0081607B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1607B">
        <w:rPr>
          <w:rFonts w:eastAsiaTheme="minorEastAsia"/>
          <w:sz w:val="28"/>
          <w:szCs w:val="28"/>
        </w:rPr>
        <w:lastRenderedPageBreak/>
        <w:t>среднее профессиональное образование по программам подготовки квалифицированных рабочих – 4,8 тыс. человек (29</w:t>
      </w:r>
      <w:r w:rsidR="00E5415F" w:rsidRPr="0081607B">
        <w:rPr>
          <w:rFonts w:eastAsiaTheme="minorEastAsia"/>
          <w:sz w:val="28"/>
          <w:szCs w:val="28"/>
        </w:rPr>
        <w:t>,0</w:t>
      </w:r>
      <w:r w:rsidRPr="0081607B">
        <w:rPr>
          <w:rFonts w:eastAsiaTheme="minorEastAsia"/>
          <w:sz w:val="28"/>
          <w:szCs w:val="28"/>
        </w:rPr>
        <w:t>%</w:t>
      </w:r>
      <w:r w:rsidR="00B73D8E" w:rsidRPr="0081607B">
        <w:rPr>
          <w:sz w:val="28"/>
          <w:szCs w:val="28"/>
        </w:rPr>
        <w:t xml:space="preserve"> </w:t>
      </w:r>
      <w:r w:rsidR="00B73D8E" w:rsidRPr="0081607B">
        <w:rPr>
          <w:rFonts w:eastAsiaTheme="minorEastAsia"/>
          <w:sz w:val="28"/>
          <w:szCs w:val="28"/>
        </w:rPr>
        <w:t>от общей потребности в кадрах</w:t>
      </w:r>
      <w:r w:rsidRPr="0081607B">
        <w:rPr>
          <w:rFonts w:eastAsiaTheme="minorEastAsia"/>
          <w:sz w:val="28"/>
          <w:szCs w:val="28"/>
        </w:rPr>
        <w:t>);</w:t>
      </w:r>
    </w:p>
    <w:p w14:paraId="2254267F" w14:textId="1658AA11" w:rsidR="004040E3" w:rsidRPr="0081607B" w:rsidRDefault="004040E3" w:rsidP="0081607B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1607B">
        <w:rPr>
          <w:rFonts w:eastAsiaTheme="minorEastAsia"/>
          <w:sz w:val="28"/>
          <w:szCs w:val="28"/>
        </w:rPr>
        <w:t>дополнительное профессиональное образование – 4,0 тыс. человек (23,6%</w:t>
      </w:r>
      <w:r w:rsidR="00B73D8E" w:rsidRPr="0081607B">
        <w:rPr>
          <w:rFonts w:eastAsiaTheme="minorEastAsia"/>
          <w:sz w:val="28"/>
          <w:szCs w:val="28"/>
        </w:rPr>
        <w:t xml:space="preserve"> от общей потребности в кадрах</w:t>
      </w:r>
      <w:r w:rsidRPr="0081607B">
        <w:rPr>
          <w:rFonts w:eastAsiaTheme="minorEastAsia"/>
          <w:sz w:val="28"/>
          <w:szCs w:val="28"/>
        </w:rPr>
        <w:t>);</w:t>
      </w:r>
    </w:p>
    <w:p w14:paraId="11558F3C" w14:textId="0361D0AE" w:rsidR="004040E3" w:rsidRPr="0081607B" w:rsidRDefault="004040E3" w:rsidP="0081607B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1607B">
        <w:rPr>
          <w:rFonts w:eastAsiaTheme="minorEastAsia"/>
          <w:sz w:val="28"/>
          <w:szCs w:val="28"/>
        </w:rPr>
        <w:t>неквалифицированные работники – 1,3 тыс. человек (7,</w:t>
      </w:r>
      <w:r w:rsidR="00E5415F" w:rsidRPr="0081607B">
        <w:rPr>
          <w:rFonts w:eastAsiaTheme="minorEastAsia"/>
          <w:sz w:val="28"/>
          <w:szCs w:val="28"/>
        </w:rPr>
        <w:t>7</w:t>
      </w:r>
      <w:r w:rsidRPr="0081607B">
        <w:rPr>
          <w:rFonts w:eastAsiaTheme="minorEastAsia"/>
          <w:sz w:val="28"/>
          <w:szCs w:val="28"/>
        </w:rPr>
        <w:t>%</w:t>
      </w:r>
      <w:r w:rsidR="00B73D8E" w:rsidRPr="0081607B">
        <w:rPr>
          <w:rFonts w:eastAsiaTheme="minorEastAsia"/>
          <w:sz w:val="28"/>
          <w:szCs w:val="28"/>
        </w:rPr>
        <w:t xml:space="preserve"> от общей потребности в кадрах</w:t>
      </w:r>
      <w:r w:rsidRPr="0081607B">
        <w:rPr>
          <w:rFonts w:eastAsiaTheme="minorEastAsia"/>
          <w:sz w:val="28"/>
          <w:szCs w:val="28"/>
        </w:rPr>
        <w:t>).</w:t>
      </w:r>
    </w:p>
    <w:p w14:paraId="1A64B403" w14:textId="065CAF4B" w:rsidR="004040E3" w:rsidRPr="0081607B" w:rsidRDefault="004040E3" w:rsidP="0081607B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1607B">
        <w:rPr>
          <w:rFonts w:eastAsiaTheme="minorEastAsia"/>
          <w:sz w:val="28"/>
          <w:szCs w:val="28"/>
        </w:rPr>
        <w:t>По данным работодателей на замену выбывающим работникам прогнозируется 13,1 тыс. человек (78,</w:t>
      </w:r>
      <w:r w:rsidR="00E5415F" w:rsidRPr="0081607B">
        <w:rPr>
          <w:rFonts w:eastAsiaTheme="minorEastAsia"/>
          <w:sz w:val="28"/>
          <w:szCs w:val="28"/>
        </w:rPr>
        <w:t>2</w:t>
      </w:r>
      <w:r w:rsidRPr="0081607B">
        <w:rPr>
          <w:rFonts w:eastAsiaTheme="minorEastAsia"/>
          <w:sz w:val="28"/>
          <w:szCs w:val="28"/>
        </w:rPr>
        <w:t xml:space="preserve">%), на вновь создаваемые рабочие места </w:t>
      </w:r>
      <w:r w:rsidR="0081607B" w:rsidRPr="0081607B">
        <w:rPr>
          <w:rFonts w:eastAsiaTheme="minorEastAsia"/>
          <w:sz w:val="28"/>
          <w:szCs w:val="28"/>
        </w:rPr>
        <w:t>-</w:t>
      </w:r>
      <w:r w:rsidR="00883522" w:rsidRPr="0081607B">
        <w:rPr>
          <w:rFonts w:eastAsiaTheme="minorEastAsia"/>
          <w:sz w:val="28"/>
          <w:szCs w:val="28"/>
        </w:rPr>
        <w:t xml:space="preserve"> </w:t>
      </w:r>
      <w:r w:rsidR="0081607B" w:rsidRPr="0081607B">
        <w:rPr>
          <w:rFonts w:eastAsiaTheme="minorEastAsia"/>
          <w:sz w:val="28"/>
          <w:szCs w:val="28"/>
        </w:rPr>
        <w:br/>
      </w:r>
      <w:r w:rsidRPr="0081607B">
        <w:rPr>
          <w:rFonts w:eastAsiaTheme="minorEastAsia"/>
          <w:sz w:val="28"/>
          <w:szCs w:val="28"/>
        </w:rPr>
        <w:t>3,7 тыс. человек (21,</w:t>
      </w:r>
      <w:r w:rsidR="00E5415F" w:rsidRPr="0081607B">
        <w:rPr>
          <w:rFonts w:eastAsiaTheme="minorEastAsia"/>
          <w:sz w:val="28"/>
          <w:szCs w:val="28"/>
        </w:rPr>
        <w:t>8</w:t>
      </w:r>
      <w:r w:rsidRPr="0081607B">
        <w:rPr>
          <w:rFonts w:eastAsiaTheme="minorEastAsia"/>
          <w:sz w:val="28"/>
          <w:szCs w:val="28"/>
        </w:rPr>
        <w:t xml:space="preserve">%). </w:t>
      </w:r>
    </w:p>
    <w:p w14:paraId="58D128AD" w14:textId="77777777" w:rsidR="0081607B" w:rsidRDefault="0081607B">
      <w:pPr>
        <w:spacing w:after="200" w:line="276" w:lineRule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br w:type="page"/>
      </w:r>
    </w:p>
    <w:p w14:paraId="245A87F2" w14:textId="73A33FBD" w:rsidR="004040E3" w:rsidRPr="0081607B" w:rsidRDefault="004040E3" w:rsidP="0081607B">
      <w:pPr>
        <w:spacing w:line="360" w:lineRule="auto"/>
        <w:ind w:firstLine="709"/>
        <w:jc w:val="both"/>
        <w:rPr>
          <w:color w:val="000033"/>
          <w:sz w:val="28"/>
          <w:szCs w:val="28"/>
        </w:rPr>
      </w:pPr>
      <w:r w:rsidRPr="0081607B">
        <w:rPr>
          <w:rFonts w:eastAsiaTheme="minorEastAsia"/>
          <w:sz w:val="28"/>
          <w:szCs w:val="28"/>
        </w:rPr>
        <w:lastRenderedPageBreak/>
        <w:t>Наибольшую потребность в квалифицированных кадрах будут испытывать организации транспорта, обеспечения электрической энергией, газом и паром; кондиционированием воздуха, строительства, сельского хозяйства, здравоохранения, образования.</w:t>
      </w:r>
      <w:r w:rsidRPr="0081607B">
        <w:rPr>
          <w:color w:val="000033"/>
          <w:sz w:val="28"/>
          <w:szCs w:val="28"/>
        </w:rPr>
        <w:t xml:space="preserve"> </w:t>
      </w:r>
    </w:p>
    <w:p w14:paraId="401E12E0" w14:textId="2A191AF2" w:rsidR="004040E3" w:rsidRPr="0081607B" w:rsidRDefault="004040E3" w:rsidP="00816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1607B">
        <w:rPr>
          <w:rFonts w:eastAsiaTheme="minorEastAsia"/>
          <w:sz w:val="28"/>
          <w:szCs w:val="28"/>
        </w:rPr>
        <w:t>В прогнозируемый период наиболее востребованными будут специалисты с высшим образованием, имеющие специальности: инженер в различных видах деятельности, врач различных специализаций, учитель, воспитатель, тренер-преподаватель, рыбовод, агроном.</w:t>
      </w:r>
    </w:p>
    <w:p w14:paraId="5CC6EB8C" w14:textId="77777777" w:rsidR="004040E3" w:rsidRPr="0081607B" w:rsidRDefault="004040E3" w:rsidP="00816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1607B">
        <w:rPr>
          <w:rFonts w:eastAsiaTheme="minorEastAsia"/>
          <w:sz w:val="28"/>
          <w:szCs w:val="28"/>
        </w:rPr>
        <w:t xml:space="preserve">Среди специальностей и профессий среднего профессионального образования: механик, механик (судовой), электромеханик (судовой), инспектор ДПС, инспектор ГИБДД, педагог дополнительного образования, учитель начальных классов, медицинская сестра, фельдшер. </w:t>
      </w:r>
    </w:p>
    <w:p w14:paraId="56474156" w14:textId="7CADF822" w:rsidR="004040E3" w:rsidRPr="0081607B" w:rsidRDefault="004040E3" w:rsidP="00816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1607B">
        <w:rPr>
          <w:rFonts w:eastAsiaTheme="minorEastAsia"/>
          <w:sz w:val="28"/>
          <w:szCs w:val="28"/>
        </w:rPr>
        <w:t>Наиболее востребованными рабочими профессиями, по оценкам работодателей, являются</w:t>
      </w:r>
      <w:r w:rsidR="00883522" w:rsidRPr="0081607B">
        <w:rPr>
          <w:rFonts w:eastAsiaTheme="minorEastAsia"/>
          <w:sz w:val="28"/>
          <w:szCs w:val="28"/>
        </w:rPr>
        <w:t>:</w:t>
      </w:r>
      <w:r w:rsidRPr="0081607B">
        <w:rPr>
          <w:rFonts w:eastAsiaTheme="minorEastAsia"/>
          <w:sz w:val="28"/>
          <w:szCs w:val="28"/>
        </w:rPr>
        <w:t xml:space="preserve"> машинист бульдозера, машинист экскаватора, водитель автомобиля, машинист тепловоза, машинист железнодорожно-строительных машин, монтер пути, дежурный по железнодорожной станции, арматурщик, плотник, бетонщик, докер-механизатор, матрос, овощевод, обработчик рыбы и морепродуктов, электрик судовой, электромонтер по эксплуатации распределительных сетей.</w:t>
      </w:r>
    </w:p>
    <w:p w14:paraId="06A2542A" w14:textId="2C023B78" w:rsidR="004040E3" w:rsidRPr="0081607B" w:rsidRDefault="004040E3" w:rsidP="0081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7B">
        <w:rPr>
          <w:rFonts w:ascii="Times New Roman" w:hAnsi="Times New Roman" w:cs="Times New Roman"/>
          <w:sz w:val="28"/>
          <w:szCs w:val="28"/>
        </w:rPr>
        <w:lastRenderedPageBreak/>
        <w:t xml:space="preserve">Данные </w:t>
      </w:r>
      <w:r w:rsidR="00883522" w:rsidRPr="0081607B">
        <w:rPr>
          <w:rFonts w:ascii="Times New Roman" w:hAnsi="Times New Roman" w:cs="Times New Roman"/>
          <w:sz w:val="28"/>
          <w:szCs w:val="28"/>
        </w:rPr>
        <w:t>П</w:t>
      </w:r>
      <w:r w:rsidRPr="0081607B">
        <w:rPr>
          <w:rFonts w:ascii="Times New Roman" w:hAnsi="Times New Roman" w:cs="Times New Roman"/>
          <w:sz w:val="28"/>
          <w:szCs w:val="28"/>
        </w:rPr>
        <w:t>рогноза являются основой для формирования и использования трудовых ресурсов, согласования проектов контрольных цифр приема на обучение в профессиональные образовательные организации Сахалинской области, регулирования объемов и профилей подготовки специалистов.</w:t>
      </w:r>
    </w:p>
    <w:p w14:paraId="1C839385" w14:textId="7E504E4E" w:rsidR="004040E3" w:rsidRPr="0081607B" w:rsidRDefault="00E37FBB" w:rsidP="0081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153" w:history="1">
        <w:r w:rsidR="004040E3" w:rsidRPr="0081607B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4040E3" w:rsidRPr="0081607B">
        <w:rPr>
          <w:rFonts w:ascii="Times New Roman" w:hAnsi="Times New Roman" w:cs="Times New Roman"/>
          <w:sz w:val="28"/>
          <w:szCs w:val="28"/>
        </w:rPr>
        <w:t xml:space="preserve"> о потребности в специалистах и рабочих кадрах Сахалинской области на период с 2018 по 2024 год представлены в приложении № 1</w:t>
      </w:r>
      <w:r w:rsidR="00A03447" w:rsidRPr="0081607B">
        <w:rPr>
          <w:rFonts w:ascii="Times New Roman" w:hAnsi="Times New Roman" w:cs="Times New Roman"/>
          <w:sz w:val="28"/>
          <w:szCs w:val="28"/>
        </w:rPr>
        <w:t xml:space="preserve"> </w:t>
      </w:r>
      <w:r w:rsidR="0081607B">
        <w:rPr>
          <w:rFonts w:ascii="Times New Roman" w:hAnsi="Times New Roman" w:cs="Times New Roman"/>
          <w:sz w:val="28"/>
          <w:szCs w:val="28"/>
        </w:rPr>
        <w:br/>
      </w:r>
      <w:r w:rsidR="00A03447" w:rsidRPr="0081607B">
        <w:rPr>
          <w:rFonts w:ascii="Times New Roman" w:hAnsi="Times New Roman" w:cs="Times New Roman"/>
          <w:sz w:val="28"/>
          <w:szCs w:val="28"/>
        </w:rPr>
        <w:t>к Прогнозу</w:t>
      </w:r>
      <w:r w:rsidR="004040E3" w:rsidRPr="0081607B">
        <w:rPr>
          <w:rFonts w:ascii="Times New Roman" w:hAnsi="Times New Roman" w:cs="Times New Roman"/>
          <w:sz w:val="28"/>
          <w:szCs w:val="28"/>
        </w:rPr>
        <w:t xml:space="preserve"> в соответствии с общероссийским классификатором профессий рабочих, должностей служащих и тарифных разрядов (ОКПДТР).</w:t>
      </w:r>
    </w:p>
    <w:p w14:paraId="7EBF1AFF" w14:textId="2454F36A" w:rsidR="004040E3" w:rsidRPr="0081607B" w:rsidRDefault="004040E3" w:rsidP="0081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7B">
        <w:rPr>
          <w:rFonts w:ascii="Times New Roman" w:hAnsi="Times New Roman" w:cs="Times New Roman"/>
          <w:sz w:val="28"/>
          <w:szCs w:val="28"/>
        </w:rPr>
        <w:t xml:space="preserve">Сведения о потребности в кадрах Сахалинской области по видам экономической деятельности на период с 2018 по 2024 год </w:t>
      </w:r>
      <w:r w:rsidR="0081607B">
        <w:rPr>
          <w:rFonts w:ascii="Times New Roman" w:hAnsi="Times New Roman" w:cs="Times New Roman"/>
          <w:sz w:val="28"/>
          <w:szCs w:val="28"/>
        </w:rPr>
        <w:t>-</w:t>
      </w:r>
      <w:r w:rsidRPr="0081607B">
        <w:rPr>
          <w:rFonts w:ascii="Times New Roman" w:hAnsi="Times New Roman" w:cs="Times New Roman"/>
          <w:sz w:val="28"/>
          <w:szCs w:val="28"/>
        </w:rPr>
        <w:t xml:space="preserve"> в приложении № 2</w:t>
      </w:r>
      <w:r w:rsidR="00A03447" w:rsidRPr="0081607B">
        <w:rPr>
          <w:rFonts w:ascii="Times New Roman" w:hAnsi="Times New Roman" w:cs="Times New Roman"/>
          <w:sz w:val="28"/>
          <w:szCs w:val="28"/>
        </w:rPr>
        <w:t xml:space="preserve"> </w:t>
      </w:r>
      <w:r w:rsidR="0081607B">
        <w:rPr>
          <w:rFonts w:ascii="Times New Roman" w:hAnsi="Times New Roman" w:cs="Times New Roman"/>
          <w:sz w:val="28"/>
          <w:szCs w:val="28"/>
        </w:rPr>
        <w:br/>
      </w:r>
      <w:r w:rsidR="00A03447" w:rsidRPr="0081607B">
        <w:rPr>
          <w:rFonts w:ascii="Times New Roman" w:hAnsi="Times New Roman" w:cs="Times New Roman"/>
          <w:sz w:val="28"/>
          <w:szCs w:val="28"/>
        </w:rPr>
        <w:t>к Прогнозу</w:t>
      </w:r>
      <w:r w:rsidRPr="0081607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7BA5FF" w14:textId="1DF29524" w:rsidR="004040E3" w:rsidRPr="0081607B" w:rsidRDefault="004040E3" w:rsidP="0081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607B">
        <w:rPr>
          <w:rFonts w:ascii="Times New Roman" w:hAnsi="Times New Roman" w:cs="Times New Roman"/>
          <w:sz w:val="28"/>
          <w:szCs w:val="28"/>
        </w:rPr>
        <w:t xml:space="preserve">Сведения о потребности в кадрах по инвестиционным проектам Сахалинской области на период с 2018 по 2024 год </w:t>
      </w:r>
      <w:r w:rsidR="0081607B">
        <w:rPr>
          <w:rFonts w:ascii="Times New Roman" w:hAnsi="Times New Roman" w:cs="Times New Roman"/>
          <w:sz w:val="28"/>
          <w:szCs w:val="28"/>
        </w:rPr>
        <w:t>-</w:t>
      </w:r>
      <w:r w:rsidRPr="0081607B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Pr="0081607B">
        <w:rPr>
          <w:rFonts w:ascii="Times New Roman" w:hAnsi="Times New Roman" w:cs="Times New Roman"/>
          <w:color w:val="000000"/>
          <w:sz w:val="28"/>
          <w:szCs w:val="28"/>
        </w:rPr>
        <w:t>№ 3</w:t>
      </w:r>
      <w:r w:rsidR="00A03447" w:rsidRPr="0081607B">
        <w:rPr>
          <w:rFonts w:ascii="Times New Roman" w:hAnsi="Times New Roman" w:cs="Times New Roman"/>
          <w:sz w:val="28"/>
          <w:szCs w:val="28"/>
        </w:rPr>
        <w:t xml:space="preserve"> </w:t>
      </w:r>
      <w:r w:rsidR="00A03447" w:rsidRPr="0081607B">
        <w:rPr>
          <w:rFonts w:ascii="Times New Roman" w:hAnsi="Times New Roman" w:cs="Times New Roman"/>
          <w:color w:val="000000"/>
          <w:sz w:val="28"/>
          <w:szCs w:val="28"/>
        </w:rPr>
        <w:t>к Прогнозу</w:t>
      </w:r>
      <w:r w:rsidRPr="0081607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69BD6C5" w14:textId="50552BBE" w:rsidR="004040E3" w:rsidRPr="0081607B" w:rsidRDefault="004040E3" w:rsidP="0081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7B">
        <w:rPr>
          <w:rFonts w:ascii="Times New Roman" w:hAnsi="Times New Roman" w:cs="Times New Roman"/>
          <w:sz w:val="28"/>
          <w:szCs w:val="28"/>
        </w:rPr>
        <w:t xml:space="preserve">Сведения о подготовке кадров профессиональными образовательными организациями Сахалинской области, реализующими программы среднего профессионального образования, </w:t>
      </w:r>
      <w:r w:rsidRPr="0081607B">
        <w:rPr>
          <w:rFonts w:ascii="Times New Roman" w:hAnsi="Times New Roman" w:cs="Times New Roman"/>
          <w:color w:val="000000"/>
          <w:sz w:val="28"/>
          <w:szCs w:val="28"/>
        </w:rPr>
        <w:t xml:space="preserve">на период с 2017 </w:t>
      </w:r>
      <w:r w:rsidRPr="0081607B">
        <w:rPr>
          <w:rFonts w:ascii="Times New Roman" w:hAnsi="Times New Roman" w:cs="Times New Roman"/>
          <w:sz w:val="28"/>
          <w:szCs w:val="28"/>
        </w:rPr>
        <w:t xml:space="preserve">по 2023 год </w:t>
      </w:r>
      <w:r w:rsidR="0081607B" w:rsidRPr="0081607B">
        <w:rPr>
          <w:rFonts w:ascii="Times New Roman" w:hAnsi="Times New Roman" w:cs="Times New Roman"/>
          <w:sz w:val="28"/>
          <w:szCs w:val="28"/>
        </w:rPr>
        <w:t>-</w:t>
      </w:r>
      <w:r w:rsidRPr="0081607B">
        <w:rPr>
          <w:rFonts w:ascii="Times New Roman" w:hAnsi="Times New Roman" w:cs="Times New Roman"/>
          <w:sz w:val="28"/>
          <w:szCs w:val="28"/>
        </w:rPr>
        <w:t xml:space="preserve"> в приложении № </w:t>
      </w:r>
      <w:r w:rsidR="00A03447" w:rsidRPr="0081607B">
        <w:rPr>
          <w:rFonts w:ascii="Times New Roman" w:hAnsi="Times New Roman" w:cs="Times New Roman"/>
          <w:sz w:val="28"/>
          <w:szCs w:val="28"/>
        </w:rPr>
        <w:t>4 к Прогнозу.</w:t>
      </w:r>
    </w:p>
    <w:p w14:paraId="738B00B4" w14:textId="40C8D03C" w:rsidR="004040E3" w:rsidRPr="0081607B" w:rsidRDefault="004040E3" w:rsidP="0081607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7B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потребности в квалифицированных кадрах с высшим профессиональным образованием, заявленной работодателями Сахалинской области по специальностям, профессиям (направлениям подготовки), с 2018 по 2024 год </w:t>
      </w:r>
      <w:r w:rsidR="0081607B" w:rsidRPr="0081607B">
        <w:rPr>
          <w:rFonts w:ascii="Times New Roman" w:hAnsi="Times New Roman" w:cs="Times New Roman"/>
          <w:sz w:val="28"/>
          <w:szCs w:val="28"/>
        </w:rPr>
        <w:t>-</w:t>
      </w:r>
      <w:r w:rsidRPr="0081607B">
        <w:rPr>
          <w:rFonts w:ascii="Times New Roman" w:hAnsi="Times New Roman" w:cs="Times New Roman"/>
          <w:sz w:val="28"/>
          <w:szCs w:val="28"/>
        </w:rPr>
        <w:t xml:space="preserve"> в приложении № 5</w:t>
      </w:r>
      <w:r w:rsidR="00A03447" w:rsidRPr="0081607B">
        <w:rPr>
          <w:rFonts w:ascii="Times New Roman" w:hAnsi="Times New Roman" w:cs="Times New Roman"/>
          <w:sz w:val="28"/>
          <w:szCs w:val="28"/>
        </w:rPr>
        <w:t xml:space="preserve"> к Прогнозу</w:t>
      </w:r>
      <w:r w:rsidRPr="0081607B">
        <w:rPr>
          <w:rFonts w:ascii="Times New Roman" w:hAnsi="Times New Roman" w:cs="Times New Roman"/>
          <w:sz w:val="28"/>
          <w:szCs w:val="28"/>
        </w:rPr>
        <w:t>.</w:t>
      </w:r>
    </w:p>
    <w:p w14:paraId="36A701FC" w14:textId="41AEF636" w:rsidR="004040E3" w:rsidRPr="0081607B" w:rsidRDefault="004040E3" w:rsidP="0081607B">
      <w:pPr>
        <w:spacing w:line="360" w:lineRule="auto"/>
        <w:ind w:firstLine="709"/>
        <w:jc w:val="both"/>
        <w:rPr>
          <w:sz w:val="28"/>
          <w:szCs w:val="28"/>
        </w:rPr>
      </w:pPr>
      <w:r w:rsidRPr="0081607B">
        <w:rPr>
          <w:sz w:val="28"/>
          <w:szCs w:val="28"/>
        </w:rPr>
        <w:t>Сведения о потребности в квалифицированных кадрах со средним профессиональным образованием, заявленной работодателями Сахалинской области по специальностям, профессиям (направлениям подготовки), с 2018 по 2024 год</w:t>
      </w:r>
      <w:r w:rsidR="00883522" w:rsidRPr="0081607B">
        <w:rPr>
          <w:sz w:val="28"/>
          <w:szCs w:val="28"/>
        </w:rPr>
        <w:t xml:space="preserve"> </w:t>
      </w:r>
      <w:r w:rsidR="0081607B" w:rsidRPr="0081607B">
        <w:rPr>
          <w:sz w:val="28"/>
          <w:szCs w:val="28"/>
        </w:rPr>
        <w:t>-</w:t>
      </w:r>
      <w:r w:rsidRPr="0081607B">
        <w:rPr>
          <w:sz w:val="28"/>
          <w:szCs w:val="28"/>
        </w:rPr>
        <w:t xml:space="preserve"> в приложении № 6</w:t>
      </w:r>
      <w:r w:rsidR="00A03447" w:rsidRPr="0081607B">
        <w:rPr>
          <w:sz w:val="28"/>
          <w:szCs w:val="28"/>
        </w:rPr>
        <w:t xml:space="preserve"> к Прогнозу</w:t>
      </w:r>
      <w:r w:rsidRPr="0081607B">
        <w:rPr>
          <w:sz w:val="28"/>
          <w:szCs w:val="28"/>
        </w:rPr>
        <w:t>.</w:t>
      </w:r>
    </w:p>
    <w:p w14:paraId="2F9BEE12" w14:textId="77777777" w:rsidR="00D15934" w:rsidRDefault="00D15934" w:rsidP="00765FB3">
      <w:pPr>
        <w:jc w:val="both"/>
        <w:rPr>
          <w:b/>
          <w:bCs/>
          <w:sz w:val="28"/>
          <w:szCs w:val="28"/>
        </w:rPr>
        <w:sectPr w:rsidR="00D15934" w:rsidSect="00C923A6">
          <w:type w:val="continuous"/>
          <w:pgSz w:w="11906" w:h="16838"/>
          <w:pgMar w:top="1134" w:right="850" w:bottom="1134" w:left="1701" w:header="708" w:footer="708" w:gutter="0"/>
          <w:cols w:space="708"/>
          <w:formProt w:val="0"/>
          <w:docGrid w:linePitch="360"/>
        </w:sectPr>
      </w:pPr>
    </w:p>
    <w:tbl>
      <w:tblPr>
        <w:tblStyle w:val="a3"/>
        <w:tblW w:w="1701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01"/>
      </w:tblGrid>
      <w:tr w:rsidR="00765FB3" w14:paraId="2F9BEE14" w14:textId="77777777">
        <w:trPr>
          <w:trHeight w:val="1134"/>
          <w:jc w:val="center"/>
        </w:trPr>
        <w:tc>
          <w:tcPr>
            <w:tcW w:w="9571" w:type="dxa"/>
            <w:tcBorders>
              <w:bottom w:val="single" w:sz="4" w:space="0" w:color="auto"/>
            </w:tcBorders>
          </w:tcPr>
          <w:p w14:paraId="2F9BEE13" w14:textId="77777777" w:rsidR="00765FB3" w:rsidRDefault="00765FB3" w:rsidP="00765FB3">
            <w:pPr>
              <w:jc w:val="both"/>
            </w:pPr>
          </w:p>
        </w:tc>
      </w:tr>
    </w:tbl>
    <w:p w14:paraId="2F9BEE15" w14:textId="77777777" w:rsidR="00765FB3" w:rsidRPr="00765FB3" w:rsidRDefault="00765FB3" w:rsidP="00765FB3">
      <w:pPr>
        <w:jc w:val="both"/>
      </w:pPr>
    </w:p>
    <w:sectPr w:rsidR="00765FB3" w:rsidRPr="00765FB3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A2034" w14:textId="3D0D315F" w:rsidR="001067EA" w:rsidRPr="001067EA" w:rsidRDefault="00E74CE3">
    <w:pPr>
      <w:pStyle w:val="a9"/>
      <w:rPr>
        <w:lang w:val="en-US"/>
      </w:rPr>
    </w:pPr>
    <w:r>
      <w:rPr>
        <w:rFonts w:cs="Arial"/>
        <w:b/>
        <w:szCs w:val="18"/>
      </w:rPr>
      <w:t>00457(п)</w:t>
    </w:r>
    <w:r w:rsidR="001067EA">
      <w:rPr>
        <w:rFonts w:cs="Arial"/>
        <w:szCs w:val="18"/>
        <w:lang w:val="en-US"/>
      </w:rPr>
      <w:t>(</w:t>
    </w:r>
    <w:r>
      <w:rPr>
        <w:rFonts w:cs="Arial"/>
        <w:b/>
        <w:szCs w:val="18"/>
      </w:rPr>
      <w:t>1.0</w:t>
    </w:r>
    <w:r w:rsidR="001067EA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19281F93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E37FBB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3911E3"/>
    <w:rsid w:val="003C3E4D"/>
    <w:rsid w:val="004040E3"/>
    <w:rsid w:val="00435DAE"/>
    <w:rsid w:val="00453A25"/>
    <w:rsid w:val="004E5AE2"/>
    <w:rsid w:val="00502266"/>
    <w:rsid w:val="005300B2"/>
    <w:rsid w:val="005417AA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E1709"/>
    <w:rsid w:val="0081607B"/>
    <w:rsid w:val="008410B6"/>
    <w:rsid w:val="00851291"/>
    <w:rsid w:val="00881598"/>
    <w:rsid w:val="00883522"/>
    <w:rsid w:val="008A52B0"/>
    <w:rsid w:val="008C31AE"/>
    <w:rsid w:val="008D2FF9"/>
    <w:rsid w:val="008E33EA"/>
    <w:rsid w:val="008E3771"/>
    <w:rsid w:val="009310D1"/>
    <w:rsid w:val="009C63DB"/>
    <w:rsid w:val="00A03447"/>
    <w:rsid w:val="00A150CA"/>
    <w:rsid w:val="00A37078"/>
    <w:rsid w:val="00A51DC8"/>
    <w:rsid w:val="00A574FB"/>
    <w:rsid w:val="00A70180"/>
    <w:rsid w:val="00A72D7D"/>
    <w:rsid w:val="00AE0711"/>
    <w:rsid w:val="00B11972"/>
    <w:rsid w:val="00B73D8E"/>
    <w:rsid w:val="00BD30A3"/>
    <w:rsid w:val="00C13EBE"/>
    <w:rsid w:val="00C41956"/>
    <w:rsid w:val="00C8203B"/>
    <w:rsid w:val="00C86C57"/>
    <w:rsid w:val="00C923A6"/>
    <w:rsid w:val="00CD0931"/>
    <w:rsid w:val="00D1048B"/>
    <w:rsid w:val="00D15934"/>
    <w:rsid w:val="00D20BF1"/>
    <w:rsid w:val="00D304BD"/>
    <w:rsid w:val="00D417AF"/>
    <w:rsid w:val="00D66824"/>
    <w:rsid w:val="00D92826"/>
    <w:rsid w:val="00D948DD"/>
    <w:rsid w:val="00DC2988"/>
    <w:rsid w:val="00E37FBB"/>
    <w:rsid w:val="00E43D42"/>
    <w:rsid w:val="00E44CAC"/>
    <w:rsid w:val="00E5415F"/>
    <w:rsid w:val="00E56736"/>
    <w:rsid w:val="00E74CE3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077955B9-92BE-4529-A7B0-ADD78A46C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4040E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0344DF2447D2E58E1AD43E5634D930E0847940BC9EB9799C52FE1161BE92B542C312FA2A7841F30674595s9o0I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903D7BB50EA40408DBA5C268FA347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7DB997-96C7-4AA9-BD14-D54D10390B12}"/>
      </w:docPartPr>
      <w:docPartBody>
        <w:p w:rsidR="00000000" w:rsidRDefault="0008715A" w:rsidP="0008715A">
          <w:pPr>
            <w:pStyle w:val="C903D7BB50EA40408DBA5C268FA347E2"/>
          </w:pPr>
          <w:r w:rsidRPr="00492D96">
            <w:rPr>
              <w:sz w:val="28"/>
              <w:szCs w:val="28"/>
            </w:rPr>
            <w:t>________________________</w:t>
          </w:r>
        </w:p>
      </w:docPartBody>
    </w:docPart>
    <w:docPart>
      <w:docPartPr>
        <w:name w:val="20652380C7614D5F8D26C4F839B168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8EF6E7-AB4F-4E6A-B0CD-DECD09672572}"/>
      </w:docPartPr>
      <w:docPartBody>
        <w:p w:rsidR="00000000" w:rsidRDefault="0008715A" w:rsidP="0008715A">
          <w:pPr>
            <w:pStyle w:val="20652380C7614D5F8D26C4F839B16872"/>
          </w:pPr>
          <w:r w:rsidRPr="0053668E">
            <w:rPr>
              <w:sz w:val="28"/>
              <w:szCs w:val="28"/>
            </w:rPr>
            <w:t>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15A"/>
    <w:rsid w:val="0008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03D7BB50EA40408DBA5C268FA347E2">
    <w:name w:val="C903D7BB50EA40408DBA5C268FA347E2"/>
    <w:rsid w:val="0008715A"/>
  </w:style>
  <w:style w:type="paragraph" w:customStyle="1" w:styleId="20652380C7614D5F8D26C4F839B16872">
    <w:name w:val="20652380C7614D5F8D26C4F839B16872"/>
    <w:rsid w:val="000871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740550ff1a2bcf2a57a10e258bf866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83a9698ad0197d7438e3bd7e2067c057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readOnly="false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01-06</RubricIndex>
    <ObjectTypeId xmlns="D7192FFF-C2B2-4F10-B7A4-C791C93B1729">2</ObjectTypeId>
    <DocGroupLink xmlns="D7192FFF-C2B2-4F10-B7A4-C791C93B1729">1139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71DBDA-0680-405D-AC2C-D4D114991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D7192FFF-C2B2-4F10-B7A4-C791C93B1729"/>
    <ds:schemaRef ds:uri="http://schemas.microsoft.com/sharepoint/v3"/>
    <ds:schemaRef ds:uri="http://purl.org/dc/elements/1.1/"/>
    <ds:schemaRef ds:uri="http://purl.org/dc/terms/"/>
    <ds:schemaRef ds:uri="http://schemas.microsoft.com/office/infopath/2007/PartnerControls"/>
    <ds:schemaRef ds:uri="00ae519a-a787-4cb6-a9f3-e0d2ce624f96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7825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Приложение к правовому акту (книжн.)</dc:title>
  <dc:creator>М.Наталья</dc:creator>
  <cp:lastModifiedBy>Шубина Светлана Ивановна</cp:lastModifiedBy>
  <cp:revision>12</cp:revision>
  <cp:lastPrinted>2008-03-14T00:47:00Z</cp:lastPrinted>
  <dcterms:created xsi:type="dcterms:W3CDTF">2014-04-30T01:23:00Z</dcterms:created>
  <dcterms:modified xsi:type="dcterms:W3CDTF">2018-08-28T05:34:00Z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